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5C" w:rsidRDefault="009A205C" w:rsidP="009A205C">
      <w:pPr>
        <w:shd w:val="clear" w:color="auto" w:fill="DEEAF6" w:themeFill="accent1" w:themeFillTint="33"/>
        <w:spacing w:before="12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Aktivitāte</w:t>
      </w:r>
      <w:r w:rsidRPr="002860D2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5.1. </w:t>
      </w:r>
      <w:r w:rsidRPr="002860D2">
        <w:rPr>
          <w:rFonts w:asciiTheme="majorHAnsi" w:hAnsiTheme="majorHAnsi" w:cs="Times New Roman"/>
          <w:b/>
          <w:i/>
          <w:sz w:val="24"/>
          <w:szCs w:val="24"/>
        </w:rPr>
        <w:t xml:space="preserve">„Vietējās ekonomikas stiprināšanas iniciatīvas” </w:t>
      </w:r>
    </w:p>
    <w:p w:rsidR="004C76D0" w:rsidRPr="009A205C" w:rsidRDefault="009A205C" w:rsidP="009A205C">
      <w:pPr>
        <w:shd w:val="clear" w:color="auto" w:fill="DEEAF6" w:themeFill="accent1" w:themeFillTint="33"/>
        <w:spacing w:before="12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="004C76D0" w:rsidRPr="00D731BC">
        <w:rPr>
          <w:rFonts w:asciiTheme="majorHAnsi" w:hAnsiTheme="majorHAnsi" w:cs="Times New Roman"/>
          <w:b/>
          <w:bCs/>
          <w:sz w:val="24"/>
          <w:shd w:val="clear" w:color="auto" w:fill="DEEAF6" w:themeFill="accent1" w:themeFillTint="33"/>
        </w:rPr>
        <w:t>. Rīcība</w:t>
      </w:r>
      <w:r w:rsidR="004C76D0" w:rsidRPr="00D731BC">
        <w:rPr>
          <w:rFonts w:asciiTheme="majorHAnsi" w:hAnsiTheme="majorHAnsi" w:cs="Times New Roman"/>
          <w:b/>
          <w:sz w:val="24"/>
          <w:shd w:val="clear" w:color="auto" w:fill="DEEAF6" w:themeFill="accent1" w:themeFillTint="33"/>
        </w:rPr>
        <w:t>.</w:t>
      </w:r>
      <w:r w:rsidR="004C76D0" w:rsidRPr="0081467E">
        <w:rPr>
          <w:rFonts w:asciiTheme="majorHAnsi" w:hAnsiTheme="majorHAnsi" w:cs="Times New Roman"/>
          <w:b/>
          <w:sz w:val="24"/>
          <w:shd w:val="clear" w:color="auto" w:fill="DEEAF6" w:themeFill="accent1" w:themeFillTint="33"/>
        </w:rPr>
        <w:t xml:space="preserve"> </w:t>
      </w:r>
      <w:r w:rsidR="004C76D0" w:rsidRPr="00A9307C">
        <w:rPr>
          <w:rFonts w:asciiTheme="majorHAnsi" w:hAnsiTheme="majorHAnsi"/>
          <w:b/>
          <w:color w:val="000000" w:themeColor="text1"/>
          <w:sz w:val="24"/>
          <w:shd w:val="clear" w:color="auto" w:fill="DEEAF6" w:themeFill="accent1" w:themeFillTint="33"/>
        </w:rPr>
        <w:t xml:space="preserve"> </w:t>
      </w:r>
      <w:r w:rsidR="004C76D0" w:rsidRPr="00A9307C">
        <w:rPr>
          <w:rFonts w:asciiTheme="majorHAnsi" w:eastAsia="Times New Roman" w:hAnsiTheme="majorHAnsi" w:cs="Times New Roman"/>
          <w:b/>
          <w:sz w:val="24"/>
          <w:shd w:val="clear" w:color="auto" w:fill="DEEAF6" w:themeFill="accent1" w:themeFillTint="33"/>
          <w:lang w:eastAsia="lv-LV"/>
        </w:rPr>
        <w:t>Vietējās produkcijas tirdzniecības vietu radīšana, labiekārtošana, jaunu pārdošanas veidu ieviešana</w:t>
      </w:r>
    </w:p>
    <w:p w:rsidR="004C76D0" w:rsidRPr="002860D2" w:rsidRDefault="004C76D0" w:rsidP="004C76D0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  <w:szCs w:val="24"/>
        </w:rPr>
        <w:t>Pirmais līmenis. Formālie vērtēšanas kritēriji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projekta atbilstības stratēģijas noteiktajai rīcībai noteikšanai. Kritēriji tiek vērtēti ar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Jā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vai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Nē.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607"/>
        <w:gridCol w:w="6326"/>
        <w:gridCol w:w="757"/>
        <w:gridCol w:w="636"/>
        <w:gridCol w:w="1213"/>
      </w:tblGrid>
      <w:tr w:rsidR="004C76D0" w:rsidRPr="00D55DA6" w:rsidTr="00AA5784">
        <w:trPr>
          <w:cantSplit/>
          <w:trHeight w:val="2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Nr.</w:t>
            </w:r>
          </w:p>
        </w:tc>
        <w:tc>
          <w:tcPr>
            <w:tcW w:w="6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</w:t>
            </w:r>
            <w:r w:rsidRPr="00D55DA6">
              <w:rPr>
                <w:rFonts w:asciiTheme="majorHAnsi" w:hAnsiTheme="majorHAnsi"/>
                <w:color w:val="000000" w:themeColor="text1"/>
              </w:rPr>
              <w:t>ritērijs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v</w:t>
            </w:r>
            <w:r w:rsidRPr="00D55DA6">
              <w:rPr>
                <w:rFonts w:asciiTheme="majorHAnsi" w:hAnsiTheme="majorHAnsi"/>
                <w:color w:val="000000" w:themeColor="text1"/>
              </w:rPr>
              <w:t>ērtējums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komentāri</w:t>
            </w:r>
          </w:p>
        </w:tc>
      </w:tr>
      <w:tr w:rsidR="004C76D0" w:rsidRPr="00D55DA6" w:rsidTr="00AA5784">
        <w:trPr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Jā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Nē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 xml:space="preserve">1. 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atbalsta pretendents ir atbilstošs attiecīgajā aktivitātē paredzētajam atbalsta saņēmēju lokam?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A1, A2, B1</w:t>
            </w:r>
          </w:p>
        </w:tc>
      </w:tr>
      <w:tr w:rsidR="004C76D0" w:rsidRPr="00D55DA6" w:rsidTr="00AA5784">
        <w:trPr>
          <w:trHeight w:val="2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paredzētās aktivitātes ir atbilstošas attiecīgajai stratēģijas rīcībai?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B 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2.1.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mērķis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B5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pamatojums, aktivitātes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2.3.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laiks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B6.2.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2.4.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vieta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B7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2.5.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2E27DD">
              <w:rPr>
                <w:rFonts w:asciiTheme="majorHAnsi" w:hAnsiTheme="majorHAnsi"/>
                <w:color w:val="000000" w:themeColor="text1"/>
              </w:rPr>
              <w:t xml:space="preserve">projekta rezultātu ilgtspējas nodrošināšana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3556D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B6, B15, C; </w:t>
            </w:r>
          </w:p>
        </w:tc>
      </w:tr>
      <w:tr w:rsidR="004C76D0" w:rsidRPr="00D55DA6" w:rsidTr="00AA5784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3.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paredzētais finansējuma apjoms ir atbilstošs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D55DA6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D3556D" w:rsidRDefault="004C76D0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B9, B10; </w:t>
            </w:r>
          </w:p>
        </w:tc>
      </w:tr>
    </w:tbl>
    <w:p w:rsidR="004C76D0" w:rsidRPr="00D55DA6" w:rsidRDefault="004C76D0" w:rsidP="004C76D0">
      <w:pPr>
        <w:spacing w:before="120" w:after="240" w:line="240" w:lineRule="auto"/>
        <w:rPr>
          <w:rFonts w:asciiTheme="majorHAnsi" w:hAnsiTheme="majorHAnsi"/>
          <w:color w:val="000000" w:themeColor="text1"/>
          <w:sz w:val="24"/>
        </w:rPr>
      </w:pPr>
      <w:r w:rsidRPr="00D55DA6">
        <w:rPr>
          <w:rFonts w:asciiTheme="majorHAnsi" w:hAnsiTheme="majorHAnsi"/>
          <w:color w:val="000000" w:themeColor="text1"/>
          <w:sz w:val="24"/>
        </w:rPr>
        <w:t>Ja kāds no šiem kritērijiem ir neatbilstošs, proje</w:t>
      </w:r>
      <w:r>
        <w:rPr>
          <w:rFonts w:asciiTheme="majorHAnsi" w:hAnsiTheme="majorHAnsi"/>
          <w:color w:val="000000" w:themeColor="text1"/>
          <w:sz w:val="24"/>
        </w:rPr>
        <w:t xml:space="preserve">kts tiek atzīts par stratēģijai </w:t>
      </w:r>
      <w:r w:rsidRPr="00D55DA6">
        <w:rPr>
          <w:rFonts w:asciiTheme="majorHAnsi" w:hAnsiTheme="majorHAnsi"/>
          <w:color w:val="000000" w:themeColor="text1"/>
          <w:sz w:val="24"/>
        </w:rPr>
        <w:t>neatbilstošu, saņem negatīvu at</w:t>
      </w:r>
      <w:r>
        <w:rPr>
          <w:rFonts w:asciiTheme="majorHAnsi" w:hAnsiTheme="majorHAnsi"/>
          <w:color w:val="000000" w:themeColor="text1"/>
          <w:sz w:val="24"/>
        </w:rPr>
        <w:t>zinumu un tālāk netiek vērtēts.</w:t>
      </w:r>
    </w:p>
    <w:p w:rsidR="004C76D0" w:rsidRPr="00D55DA6" w:rsidRDefault="004C76D0" w:rsidP="004C76D0">
      <w:pPr>
        <w:rPr>
          <w:rFonts w:asciiTheme="majorHAnsi" w:hAnsiTheme="majorHAnsi" w:cs="Times New Roman"/>
          <w:b/>
          <w:sz w:val="24"/>
        </w:rPr>
      </w:pPr>
      <w:r w:rsidRPr="00D55DA6">
        <w:rPr>
          <w:rFonts w:asciiTheme="majorHAnsi" w:hAnsiTheme="majorHAnsi" w:cs="Times New Roman"/>
          <w:b/>
          <w:sz w:val="24"/>
        </w:rPr>
        <w:t>Otrais līmenis</w:t>
      </w:r>
      <w:r>
        <w:rPr>
          <w:rFonts w:asciiTheme="majorHAnsi" w:hAnsiTheme="majorHAnsi" w:cs="Times New Roman"/>
          <w:b/>
          <w:sz w:val="24"/>
        </w:rPr>
        <w:t>.</w:t>
      </w:r>
      <w:r w:rsidRPr="00D55DA6">
        <w:rPr>
          <w:rFonts w:asciiTheme="majorHAnsi" w:hAnsiTheme="majorHAnsi" w:cs="Times New Roman"/>
          <w:b/>
          <w:sz w:val="24"/>
        </w:rPr>
        <w:t xml:space="preserve"> Projekta nozīmība vietējās teritorijas attīstības kontekstā.</w:t>
      </w:r>
    </w:p>
    <w:p w:rsidR="004C76D0" w:rsidRPr="006122E2" w:rsidRDefault="004C76D0" w:rsidP="004C76D0">
      <w:pPr>
        <w:jc w:val="both"/>
        <w:rPr>
          <w:rFonts w:asciiTheme="majorHAnsi" w:hAnsiTheme="majorHAnsi"/>
          <w:lang w:eastAsia="lv-LV"/>
        </w:rPr>
      </w:pPr>
      <w:r w:rsidRPr="006122E2">
        <w:rPr>
          <w:rFonts w:asciiTheme="majorHAnsi" w:hAnsiTheme="majorHAnsi"/>
          <w:lang w:eastAsia="lv-LV"/>
        </w:rPr>
        <w:t>Atbilstoši katram vērtēšanas kritērijam, kas nosaka projekta atbilstību attīstības stratēģijai, piešķir noteiktu punktu skaitu no 0 līdz 2 (0 = “neatbilst”, 0,5 =”vāji”, 1 = “apmierinoši”, 1,5 = “labi”, 2 =“ļoti labi”). „0” vērtējums var tikt piešķirts visos kritērijos, ja netiek iekļauta atbilstoša informācija, nav detalizēts skaidrojuma apraksts, kritērijs nav pozitīvi novērtējams saņem 0 punktus.</w:t>
      </w:r>
      <w:r>
        <w:rPr>
          <w:rFonts w:asciiTheme="majorHAnsi" w:hAnsiTheme="majorHAnsi" w:cs="Times New Roman"/>
          <w:b/>
          <w:sz w:val="24"/>
        </w:rPr>
        <w:tab/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851"/>
        <w:gridCol w:w="1134"/>
      </w:tblGrid>
      <w:tr w:rsidR="004C76D0" w:rsidRPr="002860D2" w:rsidTr="00AA5784">
        <w:trPr>
          <w:cantSplit/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Nr.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ritērijs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E4598C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E4598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komentāri 5.1 aktiv.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mērķa un plānotās rīcības pamatojums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A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A2, A3, 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5, B6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Projektā iekļauts skaidri definēts mērķis un argumentēts plānotās rīcības pamatojums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iekļauts skaidri definēts mērķis, taču ir vāji argumentēts plānotās rīcības pamatojums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Projekta mērķis ir vāji definēts, nav dots vai ir nepilnīgs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Projektā plānoto aktivitāšu ieviešanas risku apzināšanās un to novēršanas iespējas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B6, B12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, B15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Aktivitātes ir skaidri definētas, izvērtēti ieviešanas riski un to novēršanas iespējas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Aktivitātes ir definētas, taču nav pietiekami izvērtēti ieviešanas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riski un to novēršanas iespējas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Aktivitātes ir vāji definētas, vai vispār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nav izvērtēti ieviešanas riski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901D88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Projektā paredzētās aktivitātes ir </w:t>
            </w: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>atbilstoš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as</w:t>
            </w: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laika grafik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B6.2.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plānotās aktivitātes ir secīgi pamatotas un atbilst reāli iespējamam laika grafikam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plānotajām aktivitātēm identificējamas neatbilstības ar laika grafiku, tomēr ir saglabāta loģiskā aktivitāšu kārtība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ir ievērojamas plānoto aktivitāšu un laika grafika neatbilstības, nav loģiskas pēctecības aktivitāšu secībā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Projektā ietverti izmērāmi rezultatīvie rādītāji, tie ir pārbaudāmi.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B4, B4.1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r w:rsidRPr="006122E2">
              <w:rPr>
                <w:rFonts w:asciiTheme="majorHAnsi" w:hAnsiTheme="majorHAnsi" w:cs="Times New Roman"/>
                <w:sz w:val="18"/>
                <w:szCs w:val="18"/>
              </w:rPr>
              <w:t>B8</w:t>
            </w:r>
            <w:r>
              <w:rPr>
                <w:rFonts w:asciiTheme="majorHAnsi" w:hAnsiTheme="majorHAnsi" w:cs="Times New Roman"/>
                <w:strike/>
                <w:sz w:val="18"/>
                <w:szCs w:val="18"/>
              </w:rPr>
              <w:t xml:space="preserve"> 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Projektā ietverta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rezultātu sasniegšana,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aktivitāšu rezultatīvie rādītāji ir pārbaudāmi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ietverta nepārliecinoša rezultātu sasniegšana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aktivitāšu rezultatīvie rādītāji ir pārbaudāmi tikai daļēji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Rezultatīvie rādītāji nav ietverti, vai ir neatbilstoši, problemātiski tos pārbaudīt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sasniegto rezultātu ilgtspējas nodrošināšana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</w:t>
            </w:r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(krit.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nav iespējams saņemt 0 p.)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B6, B15, 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C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Ir pilnībā pamatota projektu rezultātu uzturēšana ilgtermiņā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Projekta rezultātu ilgtspēja ilgtermiņā norādīta daļēji vai trūkst pamatojuma par reālām, tās nodrošināšanas iespējām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D0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Projekta rezultātu 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ilgtspēja ir vāji pamatota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ieguldījums nodarbinātības veicināšanā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B4, B4.1, B6.1, B15, C2.1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Radīta viena vai vairākas darba vietas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Saglabāta viena vai vairākas darba vietas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izveidota daļējas slodzes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darba vieta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Plānotās aktivitātes projekta sasniedzamo rezultātu publicitātei un informācijas izplatīšanai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B13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Iesniegts izvērsts publicitātes plāns, ir atsauce uz partnerību „Brasla”, plānota sasniegto projekta rezultātu popularizēšana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Plānotas publicitātes aktivitātes, trūkst izvērsta plāna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Publicitātes aktivitātes nav plānotas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ir tikai viena aktivitāte bez būtiskas ietekmes sabiedrības informēšanā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Projekta iesniedzēja saistība</w:t>
            </w: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ar vietējās rīcības grupas (VRG) „Brasla” darbības teritoriju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965796" w:rsidRDefault="004C76D0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965796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 xml:space="preserve">A, B7, </w:t>
            </w:r>
            <w:r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>D*</w:t>
            </w:r>
            <w:r w:rsidRPr="00965796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 xml:space="preserve">, </w:t>
            </w: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reģistrēts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dekla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rēts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VRG teritorijā vairāk par 1 gadu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līdzšinējā darbība pamatota.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reģistrēts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deklarēts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VRG  teritorijā un darbojas tajā līdz 1 gadam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4C76D0" w:rsidRPr="002860D2" w:rsidTr="00AA5784">
        <w:trPr>
          <w:cantSplit/>
          <w:trHeight w:val="449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6D0" w:rsidRPr="00E721DF" w:rsidRDefault="004C76D0" w:rsidP="00AA5784">
            <w:pPr>
              <w:pStyle w:val="NoSpacing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ģistrēts, deklarēts ārpus VRG teritorijas un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ir 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darbojies tās teritorijā iepriekš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C76D0" w:rsidRPr="002860D2" w:rsidTr="00AA5784">
        <w:trPr>
          <w:cantSplit/>
          <w:trHeight w:val="18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Gadījumā, ja neizpildās neviens iepriekš minētais nosacījums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76D0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C76D0" w:rsidRPr="002860D2" w:rsidTr="00AA5784">
        <w:trPr>
          <w:cantSplit/>
          <w:trHeight w:val="4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6D0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D</w:t>
            </w:r>
            <w:r w:rsidRPr="00E721DF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*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 xml:space="preserve"> </w:t>
            </w:r>
            <w:r w:rsidRPr="00E721DF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 xml:space="preserve">Lursoft vai UR datu bāze, </w:t>
            </w:r>
            <w:r w:rsidRPr="006122E2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fiziska persona pati apliecina dekl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a</w:t>
            </w:r>
            <w:r w:rsidRPr="006122E2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rēto adresi, vai izziņa no iedzīvotāju reģistra uz projekta pieņemšanas pēdējo dienu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C76D0" w:rsidRPr="002860D2" w:rsidTr="00AA578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Maksimālais kopējais punktu skaits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6D0" w:rsidRPr="002860D2" w:rsidRDefault="004C76D0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4C76D0" w:rsidRPr="002860D2" w:rsidRDefault="004C76D0" w:rsidP="004C76D0">
      <w:pPr>
        <w:spacing w:before="240" w:after="12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</w:rPr>
        <w:t>Trešais līmenis</w:t>
      </w:r>
      <w:r>
        <w:rPr>
          <w:rFonts w:asciiTheme="majorHAnsi" w:hAnsiTheme="majorHAnsi"/>
          <w:b/>
          <w:color w:val="000000" w:themeColor="text1"/>
          <w:sz w:val="24"/>
        </w:rPr>
        <w:t>. S</w:t>
      </w:r>
      <w:r w:rsidRPr="002860D2">
        <w:rPr>
          <w:rFonts w:asciiTheme="majorHAnsi" w:hAnsiTheme="majorHAnsi"/>
          <w:b/>
          <w:color w:val="000000" w:themeColor="text1"/>
          <w:sz w:val="24"/>
        </w:rPr>
        <w:t xml:space="preserve">pecifiskie kritēriji </w:t>
      </w:r>
      <w:r w:rsidRPr="002860D2">
        <w:rPr>
          <w:rFonts w:asciiTheme="majorHAnsi" w:hAnsiTheme="majorHAnsi"/>
          <w:color w:val="000000" w:themeColor="text1"/>
          <w:sz w:val="24"/>
        </w:rPr>
        <w:t>projekt</w:t>
      </w:r>
      <w:r>
        <w:rPr>
          <w:rFonts w:asciiTheme="majorHAnsi" w:hAnsiTheme="majorHAnsi"/>
          <w:color w:val="000000" w:themeColor="text1"/>
          <w:sz w:val="24"/>
        </w:rPr>
        <w:t>a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pieteikum</w:t>
      </w:r>
      <w:r>
        <w:rPr>
          <w:rFonts w:asciiTheme="majorHAnsi" w:hAnsiTheme="majorHAnsi"/>
          <w:color w:val="000000" w:themeColor="text1"/>
          <w:sz w:val="24"/>
        </w:rPr>
        <w:t>ā plānoto rezultātu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nozīmība</w:t>
      </w:r>
      <w:r>
        <w:rPr>
          <w:rFonts w:asciiTheme="majorHAnsi" w:hAnsiTheme="majorHAnsi"/>
          <w:color w:val="000000" w:themeColor="text1"/>
          <w:sz w:val="24"/>
        </w:rPr>
        <w:t>i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konkrētās rīcības ietvaros.</w:t>
      </w:r>
      <w:r w:rsidRPr="002860D2">
        <w:rPr>
          <w:rFonts w:asciiTheme="majorHAnsi" w:hAnsiTheme="majorHAnsi" w:cs="Times New Roman"/>
          <w:sz w:val="24"/>
        </w:rPr>
        <w:t xml:space="preserve"> Šajā līmenī iegūto punktu kopums tiek summēts ar otrajā līmenī iegūtajiem punktiem.</w:t>
      </w:r>
    </w:p>
    <w:tbl>
      <w:tblPr>
        <w:tblW w:w="992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47"/>
        <w:gridCol w:w="7264"/>
        <w:gridCol w:w="880"/>
        <w:gridCol w:w="1134"/>
      </w:tblGrid>
      <w:tr w:rsidR="004C76D0" w:rsidRPr="00D731BC" w:rsidTr="004C76D0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731BC">
              <w:rPr>
                <w:rFonts w:asciiTheme="majorHAnsi" w:hAnsiTheme="majorHAnsi"/>
                <w:sz w:val="20"/>
                <w:szCs w:val="20"/>
              </w:rPr>
              <w:t>Nr.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</w:t>
            </w: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ritērijs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B93832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B93832">
              <w:rPr>
                <w:rFonts w:asciiTheme="majorHAnsi" w:hAnsiTheme="majorHAnsi" w:cs="Times New Roman"/>
                <w:sz w:val="18"/>
                <w:szCs w:val="18"/>
              </w:rPr>
              <w:t>komentāri</w:t>
            </w: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D731BC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b/>
                <w:sz w:val="20"/>
                <w:szCs w:val="20"/>
              </w:rPr>
              <w:t>Projekta aktualitātes pamatojums tirgus izpētes kontekstā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B5, B6</w:t>
            </w:r>
          </w:p>
        </w:tc>
      </w:tr>
      <w:tr w:rsidR="004C76D0" w:rsidRPr="00D731BC" w:rsidTr="004C76D0">
        <w:trPr>
          <w:trHeight w:val="408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 xml:space="preserve">Jaunas </w:t>
            </w:r>
            <w:r w:rsidRPr="00D731BC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vietējās produkcijas tirdzniecības vietas vai jauna realizācijas veida izveide ir </w:t>
            </w: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argumentēta ar padziļinātu tirgus izpēti, konkurences analīzi un priekšrocību vērtējumu attiecībā pret jau esošajiem tradicionālajiem risinājumiem, sniegs būtisku ieguvumu vietējās produkcijas realizētājiem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Projekts uzlabo jau esošas tirdzniecības vietas, produktu realizācijas veida pilnveidi un tas ir pamatots no tirgus izpētes viedokļa, norādot uz priekšrocībām konkurētspējas palielināšanai, sniegs būtisku ieguvumu vietējās produkcijas realizētājiem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  <w:highlight w:val="yellow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Aktualitāte nav pamatota ar padziļinātu tirgus izpēti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color w:val="00B050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b/>
                <w:sz w:val="20"/>
                <w:szCs w:val="20"/>
              </w:rPr>
              <w:t>Projekta rezultātu novitāte un nozīmīgums konkrētā pretendenta attīstībai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B3</w:t>
            </w: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Projekta rezultāti ir nozīmīgi konkrētā pretendenta attīstībai, kam dots argumentēts pamatojums. Paredzētais risinājums ir novatorisks.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 xml:space="preserve">Projekta rezultāti ir maznozīmīgi konkrētā pretendenta attīstībai, nav dots argumentēts pamatojums. Paredzētajam risinājuma trūkst novitātes pamatojuma.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b/>
                <w:sz w:val="20"/>
                <w:szCs w:val="20"/>
              </w:rPr>
              <w:t>Projekta iesniedzēja pieredze projektu vadībā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B93832" w:rsidRDefault="004C76D0" w:rsidP="00AA5784">
            <w:pPr>
              <w:spacing w:after="0" w:line="240" w:lineRule="auto"/>
              <w:ind w:hanging="108"/>
              <w:rPr>
                <w:rFonts w:asciiTheme="majorHAnsi" w:hAnsiTheme="majorHAnsi" w:cs="Times New Roman"/>
                <w:sz w:val="18"/>
                <w:szCs w:val="18"/>
              </w:rPr>
            </w:pPr>
            <w:r w:rsidRPr="00B93832">
              <w:rPr>
                <w:rFonts w:asciiTheme="majorHAnsi" w:hAnsiTheme="majorHAnsi" w:cs="Times New Roman"/>
                <w:sz w:val="18"/>
                <w:szCs w:val="18"/>
              </w:rPr>
              <w:t>A1, A2, B6.3, B15, D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(CV)</w:t>
            </w: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Projekta iesniedzējam ir pieredze projektu īstenošanā un nepieciešamās zināšanas tirdzniecības veicināšanā, tirgvedībā (vai ieviešanā piesaistītie speciālisti ir kompetenti attiecīgajā jomā)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color w:val="C00000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 xml:space="preserve">Projekta iesniedzējam ir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pieredze</w:t>
            </w: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 xml:space="preserve"> projektu īstenošanā, taču nepieciešamās zināšanas tirdzniecības veicināšanā un tirgvedībā neatbilst (arī ieviešanā piesaistīto speciālistu kompetence pārdošanas un tirgvedības jomā nepārliecina)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Projekta iesniedzējam nav pieredze projektu īstenošanā, netiks piesaistīts atbilstošs speciālists tirgvedības jautājumos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49578F">
              <w:rPr>
                <w:rFonts w:asciiTheme="majorHAnsi" w:hAnsiTheme="majorHAnsi" w:cs="Times New Roman"/>
                <w:b/>
                <w:sz w:val="20"/>
                <w:szCs w:val="20"/>
              </w:rPr>
              <w:t>Kopprojekts rezultātu efektīvākai sasniegšanai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A2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B6.1, D1</w:t>
            </w: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Projekts tiek īstenots kā kopprojekts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projektā skaidri aprakstīt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 ieguvumi pretendentu stratēģiskās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sadarbība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 nepieciešamībai efektīvāka rezultāta sasniegšanai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E02E7A">
              <w:rPr>
                <w:rFonts w:asciiTheme="majorHAnsi" w:hAnsiTheme="majorHAnsi" w:cs="Times New Roman"/>
                <w:sz w:val="20"/>
                <w:szCs w:val="20"/>
              </w:rPr>
              <w:t>Projekts ietver pretendentu sadarbību, taču vāji argumentēti ieguvumi un nepieciešamība no pretendentu savstarpējās sadarbības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E02E7A">
              <w:rPr>
                <w:rFonts w:asciiTheme="majorHAnsi" w:hAnsiTheme="majorHAnsi" w:cs="Times New Roman"/>
                <w:sz w:val="20"/>
                <w:szCs w:val="20"/>
              </w:rPr>
              <w:t>Projektā nav aprakstīti ieguvumi, nav pamatota pretendentu nepieciešamība sadarbībai, rezultātu sasniegšanai.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C76D0" w:rsidRPr="00D731BC" w:rsidTr="004C76D0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                Maksimālais kopējais punktu skaits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31BC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D0" w:rsidRPr="00D731BC" w:rsidRDefault="004C76D0" w:rsidP="00AA578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4C76D0" w:rsidRPr="00D731BC" w:rsidRDefault="004C76D0" w:rsidP="004C76D0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D731BC">
        <w:rPr>
          <w:rFonts w:asciiTheme="majorHAnsi" w:hAnsiTheme="majorHAnsi" w:cs="Times New Roman"/>
          <w:sz w:val="24"/>
        </w:rPr>
        <w:t>Maksimāli iegūstamais punktu skaits (</w:t>
      </w:r>
      <w:r>
        <w:rPr>
          <w:rFonts w:asciiTheme="majorHAnsi" w:hAnsiTheme="majorHAnsi" w:cs="Times New Roman"/>
          <w:sz w:val="24"/>
        </w:rPr>
        <w:t>(</w:t>
      </w:r>
      <w:r w:rsidRPr="00D731BC">
        <w:rPr>
          <w:rFonts w:asciiTheme="majorHAnsi" w:hAnsiTheme="majorHAnsi" w:cs="Times New Roman"/>
          <w:sz w:val="24"/>
        </w:rPr>
        <w:t xml:space="preserve">otrais līmenis = 16 + trešais līmenis = 8) x </w:t>
      </w:r>
      <w:r w:rsidRPr="00335D37">
        <w:rPr>
          <w:rFonts w:asciiTheme="majorHAnsi" w:hAnsiTheme="majorHAnsi" w:cs="Times New Roman"/>
          <w:sz w:val="24"/>
        </w:rPr>
        <w:t xml:space="preserve">3 vērtētāji) ir </w:t>
      </w:r>
      <w:r w:rsidRPr="00335D37">
        <w:rPr>
          <w:rFonts w:asciiTheme="majorHAnsi" w:hAnsiTheme="majorHAnsi" w:cs="Times New Roman"/>
          <w:b/>
          <w:sz w:val="24"/>
        </w:rPr>
        <w:t>72 pu</w:t>
      </w:r>
      <w:r w:rsidRPr="00D731BC">
        <w:rPr>
          <w:rFonts w:asciiTheme="majorHAnsi" w:hAnsiTheme="majorHAnsi" w:cs="Times New Roman"/>
          <w:b/>
          <w:sz w:val="24"/>
        </w:rPr>
        <w:t>nkti</w:t>
      </w:r>
      <w:r>
        <w:rPr>
          <w:rFonts w:asciiTheme="majorHAnsi" w:hAnsiTheme="majorHAnsi" w:cs="Times New Roman"/>
          <w:b/>
          <w:sz w:val="24"/>
        </w:rPr>
        <w:t>.</w:t>
      </w:r>
      <w:r w:rsidRPr="00D731BC">
        <w:rPr>
          <w:rFonts w:asciiTheme="majorHAnsi" w:hAnsiTheme="majorHAnsi" w:cs="Times New Roman"/>
          <w:sz w:val="24"/>
        </w:rPr>
        <w:t xml:space="preserve"> Minimālais punktu skaits </w:t>
      </w:r>
      <w:r w:rsidRPr="00D731BC">
        <w:rPr>
          <w:rFonts w:asciiTheme="majorHAnsi" w:hAnsiTheme="majorHAnsi" w:cs="Times New Roman"/>
          <w:b/>
          <w:sz w:val="24"/>
        </w:rPr>
        <w:t>pozitīva atzinuma saņemšanai</w:t>
      </w:r>
      <w:r w:rsidRPr="00D731BC">
        <w:rPr>
          <w:rFonts w:asciiTheme="majorHAnsi" w:hAnsiTheme="majorHAnsi" w:cs="Times New Roman"/>
          <w:sz w:val="24"/>
        </w:rPr>
        <w:t xml:space="preserve"> par projekta pieteikuma atbilstību vietējās attīstības</w:t>
      </w:r>
      <w:r>
        <w:rPr>
          <w:rFonts w:asciiTheme="majorHAnsi" w:hAnsiTheme="majorHAnsi" w:cs="Times New Roman"/>
          <w:sz w:val="24"/>
        </w:rPr>
        <w:t xml:space="preserve"> stratēģijai – 60%, kas atbilst 43,2</w:t>
      </w:r>
      <w:r w:rsidRPr="00D731BC">
        <w:rPr>
          <w:rFonts w:asciiTheme="majorHAnsi" w:hAnsiTheme="majorHAnsi" w:cs="Times New Roman"/>
          <w:sz w:val="24"/>
        </w:rPr>
        <w:t xml:space="preserve"> punktiem.</w:t>
      </w:r>
    </w:p>
    <w:p w:rsidR="004C76D0" w:rsidRPr="00D731BC" w:rsidRDefault="004C76D0" w:rsidP="004C76D0">
      <w:pPr>
        <w:spacing w:before="120" w:after="120" w:line="240" w:lineRule="auto"/>
        <w:ind w:firstLine="357"/>
        <w:jc w:val="both"/>
        <w:rPr>
          <w:rFonts w:asciiTheme="majorHAnsi" w:hAnsiTheme="majorHAnsi" w:cs="Times New Roman"/>
          <w:b/>
          <w:sz w:val="24"/>
        </w:rPr>
      </w:pPr>
      <w:r w:rsidRPr="00BA1491">
        <w:rPr>
          <w:rFonts w:asciiTheme="majorHAnsi" w:hAnsiTheme="majorHAnsi" w:cs="Times New Roman"/>
          <w:b/>
          <w:sz w:val="24"/>
        </w:rPr>
        <w:t>Gadījumos,</w:t>
      </w:r>
      <w:r w:rsidRPr="00D731BC">
        <w:rPr>
          <w:rFonts w:asciiTheme="majorHAnsi" w:hAnsiTheme="majorHAnsi" w:cs="Times New Roman"/>
          <w:b/>
          <w:sz w:val="24"/>
        </w:rPr>
        <w:t xml:space="preserve"> ja vienas rīcības ietvaros vairākiem projektiem ir vienāds punktu skaits, projekti atbalstīšanas secībā sarindojami pēc šādiem papildu nosacījumiem:</w:t>
      </w:r>
    </w:p>
    <w:p w:rsidR="004C76D0" w:rsidRPr="00D731BC" w:rsidRDefault="004C76D0" w:rsidP="004C76D0">
      <w:pPr>
        <w:pStyle w:val="NoSpacing"/>
        <w:numPr>
          <w:ilvl w:val="0"/>
          <w:numId w:val="1"/>
        </w:numPr>
        <w:spacing w:before="120" w:after="120"/>
        <w:rPr>
          <w:rFonts w:asciiTheme="majorHAnsi" w:hAnsiTheme="majorHAnsi" w:cs="Times New Roman"/>
          <w:sz w:val="24"/>
        </w:rPr>
      </w:pPr>
      <w:r w:rsidRPr="00D731BC">
        <w:rPr>
          <w:rFonts w:asciiTheme="majorHAnsi" w:hAnsiTheme="majorHAnsi" w:cs="Times New Roman"/>
          <w:sz w:val="24"/>
        </w:rPr>
        <w:t>Projekts, kas saņēmis vairāk punktu specifiskajos vērtēšanas kritērijos (trešajā līmenī). Ja tas nerada atšķirību, tiek ņemts vērā nākamais kritērijs.</w:t>
      </w:r>
    </w:p>
    <w:p w:rsidR="004C76D0" w:rsidRPr="00D731BC" w:rsidRDefault="004C76D0" w:rsidP="004C76D0">
      <w:pPr>
        <w:pStyle w:val="NoSpacing"/>
        <w:numPr>
          <w:ilvl w:val="0"/>
          <w:numId w:val="1"/>
        </w:numPr>
        <w:spacing w:before="120" w:after="120"/>
        <w:rPr>
          <w:rFonts w:asciiTheme="majorHAnsi" w:hAnsiTheme="majorHAnsi" w:cs="Times New Roman"/>
          <w:sz w:val="24"/>
        </w:rPr>
      </w:pPr>
      <w:r w:rsidRPr="00D731BC">
        <w:rPr>
          <w:rFonts w:asciiTheme="majorHAnsi" w:hAnsiTheme="majorHAnsi" w:cs="Times New Roman"/>
          <w:sz w:val="24"/>
        </w:rPr>
        <w:t>Projekts, kura ieviešanai pieprasītais mazāks publiskā finansējuma apjoms. Ja arī tas nerada atšķirību, tiek ņemts vērā nākamais kritērijs.</w:t>
      </w:r>
    </w:p>
    <w:p w:rsidR="004C76D0" w:rsidRDefault="004C76D0" w:rsidP="004C76D0">
      <w:pPr>
        <w:pStyle w:val="NoSpacing"/>
        <w:numPr>
          <w:ilvl w:val="0"/>
          <w:numId w:val="1"/>
        </w:numPr>
        <w:rPr>
          <w:rFonts w:asciiTheme="majorHAnsi" w:hAnsiTheme="majorHAnsi" w:cs="Times New Roman"/>
          <w:sz w:val="24"/>
        </w:rPr>
      </w:pPr>
      <w:r w:rsidRPr="00D731BC">
        <w:rPr>
          <w:rFonts w:asciiTheme="majorHAnsi" w:hAnsiTheme="majorHAnsi" w:cs="Times New Roman"/>
          <w:sz w:val="24"/>
        </w:rPr>
        <w:t>Izveidotā produkcijas realizācijas vieta pieejama plašākam iesaistīto vietējo ražotāju lokam.</w:t>
      </w:r>
      <w:r>
        <w:rPr>
          <w:rFonts w:asciiTheme="majorHAnsi" w:hAnsiTheme="majorHAnsi" w:cs="Times New Roman"/>
          <w:sz w:val="24"/>
        </w:rPr>
        <w:t xml:space="preserve">  </w:t>
      </w:r>
    </w:p>
    <w:p w:rsidR="004C76D0" w:rsidRPr="00335D37" w:rsidRDefault="004C76D0" w:rsidP="004C76D0">
      <w:pPr>
        <w:pStyle w:val="NoSpacing"/>
        <w:ind w:left="720"/>
        <w:rPr>
          <w:rFonts w:asciiTheme="majorHAnsi" w:hAnsiTheme="majorHAnsi" w:cs="Times New Roman"/>
          <w:sz w:val="24"/>
        </w:rPr>
      </w:pPr>
      <w:r w:rsidRPr="00335D37">
        <w:rPr>
          <w:rFonts w:asciiTheme="majorHAnsi" w:hAnsiTheme="majorHAnsi" w:cs="Times New Roman"/>
          <w:sz w:val="24"/>
        </w:rPr>
        <w:t>Papildus 0,01 punkts.</w:t>
      </w:r>
    </w:p>
    <w:p w:rsidR="001D6382" w:rsidRDefault="001D6382"/>
    <w:sectPr w:rsidR="001D6382" w:rsidSect="004C76D0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D592E"/>
    <w:multiLevelType w:val="hybridMultilevel"/>
    <w:tmpl w:val="472820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D0"/>
    <w:rsid w:val="001D6382"/>
    <w:rsid w:val="004C76D0"/>
    <w:rsid w:val="009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B2BB-96C3-45AD-8972-519EE7D9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ēre lapai"/>
    <w:link w:val="NoSpacingChar"/>
    <w:uiPriority w:val="1"/>
    <w:qFormat/>
    <w:rsid w:val="004C76D0"/>
    <w:pPr>
      <w:spacing w:after="0" w:line="240" w:lineRule="auto"/>
    </w:pPr>
  </w:style>
  <w:style w:type="character" w:customStyle="1" w:styleId="NoSpacingChar">
    <w:name w:val="No Spacing Char"/>
    <w:aliases w:val="Vēre lapai Char"/>
    <w:basedOn w:val="DefaultParagraphFont"/>
    <w:link w:val="NoSpacing"/>
    <w:uiPriority w:val="1"/>
    <w:rsid w:val="004C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5080</Words>
  <Characters>2896</Characters>
  <Application>Microsoft Office Word</Application>
  <DocSecurity>0</DocSecurity>
  <Lines>24</Lines>
  <Paragraphs>15</Paragraphs>
  <ScaleCrop>false</ScaleCrop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Liga</cp:lastModifiedBy>
  <cp:revision>2</cp:revision>
  <dcterms:created xsi:type="dcterms:W3CDTF">2016-04-06T12:59:00Z</dcterms:created>
  <dcterms:modified xsi:type="dcterms:W3CDTF">2016-04-06T13:12:00Z</dcterms:modified>
</cp:coreProperties>
</file>